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October 16th,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9:01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October 2nd were approved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President’s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with Paul Kennedy and Elise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to more student space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MoveUBC Update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 of Feb, promote more movement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students through event, promo/knowledge video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KIN Grad Committee Application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2 applications, so putting in another application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School of KIN Annual Awards Invitation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Thursday, Nov. 16 th 6:30-8:30pm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RSVP: by Nov. 10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Undergraduate Society Social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Thursday, Oct. 19 th 6-8pm, RSVP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 with all committees and discussed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Current Business and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event last week, low turnout but engaged students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Curriculum Review Meeting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meeting coming up soon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coordinators today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Pushing catalogue back to allow coordinator input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Tickets now on sale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limit for non-KIN students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Photographers, KUS executives and Boat Cruise coordinators free entry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KG would like to run coat check as a fundraiser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be responsible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more promotion to compete with other Halloween events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 with all committees and discussed expectations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transaction record sheet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 update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 reimbursement updates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Halloween costumes - brainstorm on Slack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Coordinator finance info doc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KIN Games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Discuss and review the Memorandum of Understanding (MoU) - sent by email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$150/student for a total of $2,400 for donation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 it resolved that the KUS Executive Team approves of the KG MoU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Max and Ashna do not vote because of conflict of interest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passed 4/4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Evangelo’s Photo Selection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Decide individual executive photos to be put on the website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end of today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Decide and discuss the Executive group shot to go on the wall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top 3 vote on FB KUS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Late Night Council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Discuss KUS Council meeting/social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get committees involved with each other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out/to a game after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Square Review/Tutorial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Briefly go over how to use square and discuss expectations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Discuss Partnership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Kaplan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UBC Rec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RYU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OzTrekk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9:51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