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Night Council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January 17th,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Council members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Icebreaker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Pictionary - 2 teams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Move UBC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Month of awareness for activity in February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day = wear activewear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Exercise is Medicine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Prescribe medicine for different conditions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Faculty Cup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Register by January 22nd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Feb 2nd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KiWe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 Kin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Giving out motivational/inspirational messages all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253 students attended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Merchandise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supplier with Term 2 order, will most likely be out mid-February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Street Team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Tomorrow: Free hugs/cocoa/timbits in Wood Foyer 12-2 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on Kin Formal promotion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Week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Today: Workout Wednesday/Yoga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Tomorrow: Movie Night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Friday: K-Factor &amp; Winter Classic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Formal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Are you happy in KIN?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Enjoy classes 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peers/classmates as well as course material/profs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school feel w/in a large POP school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 campus events?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Mix of both 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Accessibility 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Buses come from campus for Kin Camp/Ski Trip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Environment/people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Feel that people are generally more friendly as a group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Feels like it starts from Imagine Day/Kin Camp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(maybe those that it worked for became involved?)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Acknowledge that others who aren’t in the room probably don’t feel the same way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can we do as a community to include those that may not feel as included/excited about KIN?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classmates in person/promote events individually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Especially those who may not be as ‘extroverted’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Barriers: school, work, finances, introvertedness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reach out/lower barriers to involvement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“KUS events are for KUS council and their friends”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study sessions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Upper years study with lower years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Integrated space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those interested in studying/school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Less people involved later in their degree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keep upper years involved?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kind of events/opportunities are available/geared to them?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 you feel well supported as Kin Students (from the KUS)?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formal mentorship?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Forums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Ideas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Fright Night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Storms a Volunteering event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outreach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